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09E" w:rsidRDefault="0052609E" w:rsidP="0052609E">
      <w:pPr>
        <w:pStyle w:val="Balk1"/>
        <w:spacing w:before="0" w:after="107"/>
        <w:rPr>
          <w:rFonts w:ascii="pf_beausans_proregular" w:hAnsi="pf_beausans_proregular"/>
          <w:color w:val="414141"/>
          <w:sz w:val="27"/>
          <w:szCs w:val="27"/>
        </w:rPr>
      </w:pPr>
      <w:r>
        <w:rPr>
          <w:rFonts w:ascii="pf_beausans_proregular" w:hAnsi="pf_beausans_proregular"/>
          <w:color w:val="414141"/>
          <w:sz w:val="27"/>
          <w:szCs w:val="27"/>
        </w:rPr>
        <w:t>ÖYP Usul ve Esaslarda Değişiklik Yapıldı</w:t>
      </w:r>
    </w:p>
    <w:p w:rsidR="0052609E" w:rsidRDefault="0052609E" w:rsidP="0052609E">
      <w:pPr>
        <w:shd w:val="clear" w:color="auto" w:fill="FFFFFF"/>
        <w:spacing w:after="107" w:line="240" w:lineRule="auto"/>
        <w:outlineLvl w:val="1"/>
        <w:rPr>
          <w:rFonts w:ascii="pf_beausans_proregular" w:eastAsia="Times New Roman" w:hAnsi="pf_beausans_proregular" w:cs="Times New Roman"/>
          <w:b/>
          <w:bCs/>
          <w:color w:val="414141"/>
          <w:sz w:val="16"/>
          <w:szCs w:val="16"/>
          <w:lang w:eastAsia="tr-TR"/>
        </w:rPr>
      </w:pPr>
    </w:p>
    <w:p w:rsidR="0052609E" w:rsidRPr="0052609E" w:rsidRDefault="0052609E" w:rsidP="0052609E">
      <w:pPr>
        <w:shd w:val="clear" w:color="auto" w:fill="FFFFFF"/>
        <w:spacing w:after="107" w:line="240" w:lineRule="auto"/>
        <w:outlineLvl w:val="1"/>
        <w:rPr>
          <w:rFonts w:ascii="pf_beausans_proregular" w:eastAsia="Times New Roman" w:hAnsi="pf_beausans_proregular" w:cs="Times New Roman"/>
          <w:b/>
          <w:bCs/>
          <w:color w:val="414141"/>
          <w:sz w:val="16"/>
          <w:szCs w:val="16"/>
          <w:lang w:eastAsia="tr-TR"/>
        </w:rPr>
      </w:pPr>
      <w:r>
        <w:rPr>
          <w:rFonts w:ascii="pf_beausans_proregular" w:eastAsia="Times New Roman" w:hAnsi="pf_beausans_proregular" w:cs="Times New Roman"/>
          <w:b/>
          <w:bCs/>
          <w:color w:val="414141"/>
          <w:sz w:val="16"/>
          <w:szCs w:val="16"/>
          <w:lang w:eastAsia="tr-TR"/>
        </w:rPr>
        <w:t>Ö</w:t>
      </w:r>
      <w:r w:rsidRPr="0052609E">
        <w:rPr>
          <w:rFonts w:ascii="pf_beausans_proregular" w:eastAsia="Times New Roman" w:hAnsi="pf_beausans_proregular" w:cs="Times New Roman"/>
          <w:b/>
          <w:bCs/>
          <w:color w:val="414141"/>
          <w:sz w:val="16"/>
          <w:szCs w:val="16"/>
          <w:lang w:eastAsia="tr-TR"/>
        </w:rPr>
        <w:t xml:space="preserve">ğretim Üyesi Yetiştirme Programına İlişkin Usul ve Esasların Yabancı Dil Eğitimi ve Lisansüstü Eğitim-Öğretim başlıklı 11. maddesinin 3. </w:t>
      </w:r>
      <w:proofErr w:type="spellStart"/>
      <w:r w:rsidRPr="0052609E">
        <w:rPr>
          <w:rFonts w:ascii="pf_beausans_proregular" w:eastAsia="Times New Roman" w:hAnsi="pf_beausans_proregular" w:cs="Times New Roman"/>
          <w:b/>
          <w:bCs/>
          <w:color w:val="414141"/>
          <w:sz w:val="16"/>
          <w:szCs w:val="16"/>
          <w:lang w:eastAsia="tr-TR"/>
        </w:rPr>
        <w:t>fıkrası’nda</w:t>
      </w:r>
      <w:proofErr w:type="spellEnd"/>
      <w:r w:rsidRPr="0052609E">
        <w:rPr>
          <w:rFonts w:ascii="pf_beausans_proregular" w:eastAsia="Times New Roman" w:hAnsi="pf_beausans_proregular" w:cs="Times New Roman"/>
          <w:b/>
          <w:bCs/>
          <w:color w:val="414141"/>
          <w:sz w:val="16"/>
          <w:szCs w:val="16"/>
          <w:lang w:eastAsia="tr-TR"/>
        </w:rPr>
        <w:t xml:space="preserve"> değişiklik yapıldı.</w:t>
      </w:r>
    </w:p>
    <w:p w:rsidR="0052609E" w:rsidRPr="0052609E" w:rsidRDefault="0052609E" w:rsidP="0052609E">
      <w:pPr>
        <w:shd w:val="clear" w:color="auto" w:fill="FFFFFF"/>
        <w:spacing w:after="0" w:line="240" w:lineRule="auto"/>
        <w:jc w:val="both"/>
        <w:rPr>
          <w:rFonts w:ascii="Arial" w:eastAsia="Times New Roman" w:hAnsi="Arial" w:cs="Arial"/>
          <w:color w:val="414141"/>
          <w:sz w:val="14"/>
          <w:szCs w:val="14"/>
          <w:lang w:eastAsia="tr-TR"/>
        </w:rPr>
      </w:pPr>
      <w:r w:rsidRPr="0052609E">
        <w:rPr>
          <w:rFonts w:ascii="Arial" w:eastAsia="Times New Roman" w:hAnsi="Arial" w:cs="Arial"/>
          <w:b/>
          <w:bCs/>
          <w:color w:val="414141"/>
          <w:sz w:val="14"/>
          <w:lang w:eastAsia="tr-TR"/>
        </w:rPr>
        <w:t>Danışman atanması ve tez izleme komitesi</w:t>
      </w:r>
    </w:p>
    <w:tbl>
      <w:tblPr>
        <w:tblW w:w="8700" w:type="dxa"/>
        <w:tblCellSpacing w:w="0" w:type="dxa"/>
        <w:tblBorders>
          <w:top w:val="single" w:sz="8" w:space="0" w:color="BFCEE4"/>
          <w:left w:val="single" w:sz="8" w:space="0" w:color="BFCEE4"/>
          <w:bottom w:val="single" w:sz="8" w:space="0" w:color="BFCEE4"/>
          <w:right w:val="single" w:sz="8" w:space="0" w:color="BFCEE4"/>
        </w:tblBorders>
        <w:shd w:val="clear" w:color="auto" w:fill="DAE6F6"/>
        <w:tblCellMar>
          <w:left w:w="0" w:type="dxa"/>
          <w:right w:w="0" w:type="dxa"/>
        </w:tblCellMar>
        <w:tblLook w:val="04A0"/>
      </w:tblPr>
      <w:tblGrid>
        <w:gridCol w:w="2171"/>
        <w:gridCol w:w="6529"/>
      </w:tblGrid>
      <w:tr w:rsidR="0052609E" w:rsidRPr="0052609E" w:rsidTr="0052609E">
        <w:trPr>
          <w:tblCellSpacing w:w="0" w:type="dxa"/>
        </w:trPr>
        <w:tc>
          <w:tcPr>
            <w:tcW w:w="0" w:type="auto"/>
            <w:shd w:val="clear" w:color="auto" w:fill="DAE6F6"/>
            <w:tcMar>
              <w:top w:w="64" w:type="dxa"/>
              <w:left w:w="64" w:type="dxa"/>
              <w:bottom w:w="64" w:type="dxa"/>
              <w:right w:w="107" w:type="dxa"/>
            </w:tcMar>
            <w:vAlign w:val="center"/>
            <w:hideMark/>
          </w:tcPr>
          <w:p w:rsidR="0052609E" w:rsidRPr="0052609E" w:rsidRDefault="0052609E" w:rsidP="0052609E">
            <w:pPr>
              <w:spacing w:after="0" w:line="240" w:lineRule="auto"/>
              <w:rPr>
                <w:rFonts w:ascii="Arial" w:eastAsia="Times New Roman" w:hAnsi="Arial" w:cs="Arial"/>
                <w:color w:val="414141"/>
                <w:sz w:val="14"/>
                <w:szCs w:val="14"/>
                <w:lang w:eastAsia="tr-TR"/>
              </w:rPr>
            </w:pPr>
            <w:r>
              <w:rPr>
                <w:rFonts w:ascii="Arial" w:eastAsia="Times New Roman" w:hAnsi="Arial" w:cs="Arial"/>
                <w:noProof/>
                <w:color w:val="BA5E04"/>
                <w:sz w:val="14"/>
                <w:szCs w:val="14"/>
                <w:lang w:eastAsia="tr-TR"/>
              </w:rPr>
              <w:drawing>
                <wp:inline distT="0" distB="0" distL="0" distR="0">
                  <wp:extent cx="1235075" cy="791845"/>
                  <wp:effectExtent l="19050" t="0" r="3175" b="0"/>
                  <wp:docPr id="1" name="Resim 1" descr="http://www.akademikpersonel.org/anasayfa/wp-content/themes/havadis/timthumb.php?src=http://www.akademikpersonel.org/anasayfa/wp-content/uploads/2015/07/Hukuk-karar.jp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kademikpersonel.org/anasayfa/wp-content/themes/havadis/timthumb.php?src=http://www.akademikpersonel.org/anasayfa/wp-content/uploads/2015/07/Hukuk-karar.jpg">
                            <a:hlinkClick r:id="rId4" tgtFrame="&quot;_blank&quot;"/>
                          </pic:cNvPr>
                          <pic:cNvPicPr>
                            <a:picLocks noChangeAspect="1" noChangeArrowheads="1"/>
                          </pic:cNvPicPr>
                        </pic:nvPicPr>
                        <pic:blipFill>
                          <a:blip r:embed="rId5" cstate="print"/>
                          <a:srcRect/>
                          <a:stretch>
                            <a:fillRect/>
                          </a:stretch>
                        </pic:blipFill>
                        <pic:spPr bwMode="auto">
                          <a:xfrm>
                            <a:off x="0" y="0"/>
                            <a:ext cx="1235075" cy="791845"/>
                          </a:xfrm>
                          <a:prstGeom prst="rect">
                            <a:avLst/>
                          </a:prstGeom>
                          <a:noFill/>
                          <a:ln w="9525">
                            <a:noFill/>
                            <a:miter lim="800000"/>
                            <a:headEnd/>
                            <a:tailEnd/>
                          </a:ln>
                        </pic:spPr>
                      </pic:pic>
                    </a:graphicData>
                  </a:graphic>
                </wp:inline>
              </w:drawing>
            </w:r>
          </w:p>
        </w:tc>
        <w:tc>
          <w:tcPr>
            <w:tcW w:w="0" w:type="auto"/>
            <w:shd w:val="clear" w:color="auto" w:fill="DAE6F6"/>
            <w:tcMar>
              <w:top w:w="0" w:type="dxa"/>
              <w:left w:w="0" w:type="dxa"/>
              <w:bottom w:w="0" w:type="dxa"/>
              <w:right w:w="86" w:type="dxa"/>
            </w:tcMar>
            <w:vAlign w:val="center"/>
            <w:hideMark/>
          </w:tcPr>
          <w:p w:rsidR="0052609E" w:rsidRPr="0052609E" w:rsidRDefault="0052609E" w:rsidP="0052609E">
            <w:pPr>
              <w:spacing w:after="0" w:line="269" w:lineRule="atLeast"/>
              <w:rPr>
                <w:rFonts w:ascii="Arial" w:eastAsia="Times New Roman" w:hAnsi="Arial" w:cs="Arial"/>
                <w:color w:val="414141"/>
                <w:sz w:val="14"/>
                <w:szCs w:val="14"/>
                <w:lang w:eastAsia="tr-TR"/>
              </w:rPr>
            </w:pPr>
            <w:hyperlink r:id="rId6" w:tgtFrame="_blank" w:history="1">
              <w:r w:rsidRPr="0052609E">
                <w:rPr>
                  <w:rFonts w:ascii="Arial" w:eastAsia="Times New Roman" w:hAnsi="Arial" w:cs="Arial"/>
                  <w:b/>
                  <w:bCs/>
                  <w:color w:val="41403E"/>
                  <w:lang w:eastAsia="tr-TR"/>
                </w:rPr>
                <w:t>YÖK’ün ÖYP Esaslarında Yaptığı Değişikliğin Yürütmesi Durduruldu</w:t>
              </w:r>
              <w:r w:rsidRPr="0052609E">
                <w:rPr>
                  <w:rFonts w:ascii="Arial" w:eastAsia="Times New Roman" w:hAnsi="Arial" w:cs="Arial"/>
                  <w:b/>
                  <w:bCs/>
                  <w:color w:val="41403E"/>
                  <w:lang w:eastAsia="tr-TR"/>
                </w:rPr>
                <w:br/>
              </w:r>
            </w:hyperlink>
          </w:p>
        </w:tc>
      </w:tr>
    </w:tbl>
    <w:p w:rsidR="0052609E" w:rsidRPr="0052609E" w:rsidRDefault="0052609E" w:rsidP="0052609E">
      <w:pPr>
        <w:shd w:val="clear" w:color="auto" w:fill="FFFFFF"/>
        <w:spacing w:after="0" w:line="240" w:lineRule="auto"/>
        <w:jc w:val="both"/>
        <w:rPr>
          <w:rFonts w:ascii="Arial" w:eastAsia="Times New Roman" w:hAnsi="Arial" w:cs="Arial"/>
          <w:color w:val="414141"/>
          <w:sz w:val="14"/>
          <w:szCs w:val="14"/>
          <w:lang w:eastAsia="tr-TR"/>
        </w:rPr>
      </w:pPr>
      <w:r w:rsidRPr="0052609E">
        <w:rPr>
          <w:rFonts w:ascii="Arial" w:eastAsia="Times New Roman" w:hAnsi="Arial" w:cs="Arial"/>
          <w:b/>
          <w:bCs/>
          <w:color w:val="414141"/>
          <w:sz w:val="14"/>
          <w:lang w:eastAsia="tr-TR"/>
        </w:rPr>
        <w:t>MADDE 11 </w:t>
      </w:r>
      <w:r w:rsidRPr="0052609E">
        <w:rPr>
          <w:rFonts w:ascii="Arial" w:eastAsia="Times New Roman" w:hAnsi="Arial" w:cs="Arial"/>
          <w:color w:val="414141"/>
          <w:sz w:val="14"/>
          <w:szCs w:val="14"/>
          <w:lang w:eastAsia="tr-TR"/>
        </w:rPr>
        <w:t>— (1) ÖYP araştırma görevlilerine, lisansüstü öğrenim için kayıtlı oldukları enstitü tarafından bir danışman görevlendirilir. Danışman, her yarıyıl sonunda araştırma görevlisi hakkında hazırlayacağı değerlendirme raporunu enstitüye sunar. Bu raporlar düzenli olarak öğrencinin mecburi hizmet yükümlüsü olduğu yükseköğretim kurumuna gönderilir.</w:t>
      </w:r>
    </w:p>
    <w:p w:rsidR="0052609E" w:rsidRPr="0052609E" w:rsidRDefault="0052609E" w:rsidP="0052609E">
      <w:pPr>
        <w:shd w:val="clear" w:color="auto" w:fill="FFFFFF"/>
        <w:spacing w:after="54" w:line="240" w:lineRule="auto"/>
        <w:jc w:val="both"/>
        <w:rPr>
          <w:rFonts w:ascii="Arial" w:eastAsia="Times New Roman" w:hAnsi="Arial" w:cs="Arial"/>
          <w:color w:val="414141"/>
          <w:sz w:val="14"/>
          <w:szCs w:val="14"/>
          <w:lang w:eastAsia="tr-TR"/>
        </w:rPr>
      </w:pPr>
      <w:r w:rsidRPr="0052609E">
        <w:rPr>
          <w:rFonts w:ascii="Arial" w:eastAsia="Times New Roman" w:hAnsi="Arial" w:cs="Arial"/>
          <w:color w:val="414141"/>
          <w:sz w:val="14"/>
          <w:szCs w:val="14"/>
          <w:lang w:eastAsia="tr-TR"/>
        </w:rPr>
        <w:t>(2) 2547 sayılı Kanunun 35 inci maddesi uyarınca bir başka yükseköğretim kurumunda görevlendirilen ÖYP araştırma görevlileri, mecburi hizmetle yükümlü bulundukları yükseköğretim kurumlarına yılda bir kez bilgilendirme amacıyla rapor sunmakla yükümlüdür.</w:t>
      </w:r>
    </w:p>
    <w:p w:rsidR="0052609E" w:rsidRPr="0052609E" w:rsidRDefault="0052609E" w:rsidP="0052609E">
      <w:pPr>
        <w:shd w:val="clear" w:color="auto" w:fill="FFFFFF"/>
        <w:spacing w:after="0" w:line="240" w:lineRule="auto"/>
        <w:jc w:val="both"/>
        <w:rPr>
          <w:rFonts w:ascii="Arial" w:eastAsia="Times New Roman" w:hAnsi="Arial" w:cs="Arial"/>
          <w:color w:val="414141"/>
          <w:sz w:val="14"/>
          <w:szCs w:val="14"/>
          <w:lang w:eastAsia="tr-TR"/>
        </w:rPr>
      </w:pPr>
      <w:r w:rsidRPr="0052609E">
        <w:rPr>
          <w:rFonts w:ascii="Arial" w:eastAsia="Times New Roman" w:hAnsi="Arial" w:cs="Arial"/>
          <w:color w:val="414141"/>
          <w:sz w:val="14"/>
          <w:szCs w:val="14"/>
          <w:lang w:eastAsia="tr-TR"/>
        </w:rPr>
        <w:t>(3) Dersleri başarı ile tamamlayarak tez aşamasına geçen ÖYP araştırma görevlileri, tez danışmanının olumlu görüşü ve YÖK Yürütme Kurulu kararı ile atandıkları yükseköğretim kurumunda tez çalışmalarını yürütebilirler. (</w:t>
      </w:r>
      <w:r w:rsidRPr="0052609E">
        <w:rPr>
          <w:rFonts w:ascii="Arial" w:eastAsia="Times New Roman" w:hAnsi="Arial" w:cs="Arial"/>
          <w:b/>
          <w:bCs/>
          <w:color w:val="414141"/>
          <w:sz w:val="14"/>
          <w:lang w:eastAsia="tr-TR"/>
        </w:rPr>
        <w:t>Değişiklik Ankara Danıştay 8. Dairesinin kararı uyarınca 22.07.2016 tarihli Yürütme Kurulu kararı ile yapılmıştır.)</w:t>
      </w:r>
    </w:p>
    <w:p w:rsidR="0052609E" w:rsidRPr="0052609E" w:rsidRDefault="0052609E" w:rsidP="0052609E">
      <w:pPr>
        <w:shd w:val="clear" w:color="auto" w:fill="FFFFFF"/>
        <w:spacing w:after="0" w:line="240" w:lineRule="auto"/>
        <w:jc w:val="both"/>
        <w:rPr>
          <w:rFonts w:ascii="Arial" w:eastAsia="Times New Roman" w:hAnsi="Arial" w:cs="Arial"/>
          <w:color w:val="414141"/>
          <w:sz w:val="14"/>
          <w:szCs w:val="14"/>
          <w:lang w:eastAsia="tr-TR"/>
        </w:rPr>
      </w:pPr>
      <w:r w:rsidRPr="0052609E">
        <w:rPr>
          <w:rFonts w:ascii="Arial" w:eastAsia="Times New Roman" w:hAnsi="Arial" w:cs="Arial"/>
          <w:color w:val="414141"/>
          <w:sz w:val="14"/>
          <w:szCs w:val="14"/>
          <w:lang w:eastAsia="tr-TR"/>
        </w:rPr>
        <w:t>Kaynak:</w:t>
      </w:r>
      <w:r w:rsidRPr="0052609E">
        <w:rPr>
          <w:rFonts w:ascii="Arial" w:eastAsia="Times New Roman" w:hAnsi="Arial" w:cs="Arial"/>
          <w:color w:val="414141"/>
          <w:sz w:val="14"/>
          <w:lang w:eastAsia="tr-TR"/>
        </w:rPr>
        <w:t> </w:t>
      </w:r>
      <w:hyperlink r:id="rId7" w:history="1">
        <w:r w:rsidRPr="0052609E">
          <w:rPr>
            <w:rFonts w:ascii="Arial" w:eastAsia="Times New Roman" w:hAnsi="Arial" w:cs="Arial"/>
            <w:color w:val="BA5E04"/>
            <w:sz w:val="14"/>
            <w:lang w:eastAsia="tr-TR"/>
          </w:rPr>
          <w:t>YÖK</w:t>
        </w:r>
      </w:hyperlink>
    </w:p>
    <w:p w:rsidR="00D47BE6" w:rsidRDefault="00D47BE6"/>
    <w:sectPr w:rsidR="00D47BE6" w:rsidSect="00D47BE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pf_beausans_proregular">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52609E"/>
    <w:rsid w:val="002E42EA"/>
    <w:rsid w:val="0052609E"/>
    <w:rsid w:val="006A6483"/>
    <w:rsid w:val="00A10588"/>
    <w:rsid w:val="00D47BE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483"/>
  </w:style>
  <w:style w:type="paragraph" w:styleId="Balk1">
    <w:name w:val="heading 1"/>
    <w:basedOn w:val="Normal"/>
    <w:next w:val="Normal"/>
    <w:link w:val="Balk1Char"/>
    <w:uiPriority w:val="9"/>
    <w:qFormat/>
    <w:rsid w:val="005260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link w:val="Balk2Char"/>
    <w:uiPriority w:val="9"/>
    <w:qFormat/>
    <w:rsid w:val="0052609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ResimYazs">
    <w:name w:val="caption"/>
    <w:basedOn w:val="Normal"/>
    <w:next w:val="Normal"/>
    <w:uiPriority w:val="35"/>
    <w:unhideWhenUsed/>
    <w:qFormat/>
    <w:rsid w:val="006A6483"/>
    <w:pPr>
      <w:spacing w:line="240" w:lineRule="auto"/>
    </w:pPr>
    <w:rPr>
      <w:b/>
      <w:bCs/>
      <w:color w:val="4F81BD" w:themeColor="accent1"/>
      <w:sz w:val="18"/>
      <w:szCs w:val="18"/>
    </w:rPr>
  </w:style>
  <w:style w:type="character" w:customStyle="1" w:styleId="Balk2Char">
    <w:name w:val="Başlık 2 Char"/>
    <w:basedOn w:val="VarsaylanParagrafYazTipi"/>
    <w:link w:val="Balk2"/>
    <w:uiPriority w:val="9"/>
    <w:rsid w:val="0052609E"/>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52609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2609E"/>
    <w:rPr>
      <w:b/>
      <w:bCs/>
    </w:rPr>
  </w:style>
  <w:style w:type="character" w:styleId="Kpr">
    <w:name w:val="Hyperlink"/>
    <w:basedOn w:val="VarsaylanParagrafYazTipi"/>
    <w:uiPriority w:val="99"/>
    <w:semiHidden/>
    <w:unhideWhenUsed/>
    <w:rsid w:val="0052609E"/>
    <w:rPr>
      <w:color w:val="0000FF"/>
      <w:u w:val="single"/>
    </w:rPr>
  </w:style>
  <w:style w:type="character" w:customStyle="1" w:styleId="apple-converted-space">
    <w:name w:val="apple-converted-space"/>
    <w:basedOn w:val="VarsaylanParagrafYazTipi"/>
    <w:rsid w:val="0052609E"/>
  </w:style>
  <w:style w:type="paragraph" w:styleId="BalonMetni">
    <w:name w:val="Balloon Text"/>
    <w:basedOn w:val="Normal"/>
    <w:link w:val="BalonMetniChar"/>
    <w:uiPriority w:val="99"/>
    <w:semiHidden/>
    <w:unhideWhenUsed/>
    <w:rsid w:val="0052609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2609E"/>
    <w:rPr>
      <w:rFonts w:ascii="Tahoma" w:hAnsi="Tahoma" w:cs="Tahoma"/>
      <w:sz w:val="16"/>
      <w:szCs w:val="16"/>
    </w:rPr>
  </w:style>
  <w:style w:type="character" w:customStyle="1" w:styleId="Balk1Char">
    <w:name w:val="Başlık 1 Char"/>
    <w:basedOn w:val="VarsaylanParagrafYazTipi"/>
    <w:link w:val="Balk1"/>
    <w:uiPriority w:val="9"/>
    <w:rsid w:val="0052609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84440849">
      <w:bodyDiv w:val="1"/>
      <w:marLeft w:val="0"/>
      <w:marRight w:val="0"/>
      <w:marTop w:val="0"/>
      <w:marBottom w:val="0"/>
      <w:divBdr>
        <w:top w:val="none" w:sz="0" w:space="0" w:color="auto"/>
        <w:left w:val="none" w:sz="0" w:space="0" w:color="auto"/>
        <w:bottom w:val="none" w:sz="0" w:space="0" w:color="auto"/>
        <w:right w:val="none" w:sz="0" w:space="0" w:color="auto"/>
      </w:divBdr>
    </w:div>
    <w:div w:id="94098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yok.gov.tr/web/oyp/usul-ve-esasla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kademikpersonel.org/anasayfa/yokun-oyp-esaslarinda-yaptigi-degisikligin-yurutmesi-durduruldu.html" TargetMode="External"/><Relationship Id="rId5" Type="http://schemas.openxmlformats.org/officeDocument/2006/relationships/image" Target="media/image1.jpeg"/><Relationship Id="rId4" Type="http://schemas.openxmlformats.org/officeDocument/2006/relationships/hyperlink" Target="http://www.akademikpersonel.org/anasayfa/yokun-oyp-esaslarinda-yaptigi-degisikligin-yurutmesi-durduruldu.html" TargetMode="Externa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1257</Characters>
  <Application>Microsoft Office Word</Application>
  <DocSecurity>0</DocSecurity>
  <Lines>10</Lines>
  <Paragraphs>2</Paragraphs>
  <ScaleCrop>false</ScaleCrop>
  <Company/>
  <LinksUpToDate>false</LinksUpToDate>
  <CharactersWithSpaces>1475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YakupKars</dc:creator>
  <cp:keywords/>
  <dc:description/>
  <cp:lastModifiedBy>YakupKars</cp:lastModifiedBy>
  <cp:revision>2</cp:revision>
  <dcterms:created xsi:type="dcterms:W3CDTF">2016-08-08T06:30:00Z</dcterms:created>
  <dcterms:modified xsi:type="dcterms:W3CDTF">2016-08-08T06:31:00Z</dcterms:modified>
</cp:coreProperties>
</file>